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În forma în care arată acum, cele 3 „contracte de sponsorizare” + cele 2 facturi de „închiriere spațiu AGP” sunt, juridic, extrem de vulnerabile. 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 combinarea lor rezultă, practic:</w:t>
      </w:r>
    </w:p>
    <w:p w:rsidR="000E5EE4" w:rsidRPr="000E5EE4" w:rsidRDefault="000E5EE4" w:rsidP="000E5E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cheltuieli făcute de asociație în afara scopului legal și a destinației fondurilor;</w:t>
      </w:r>
    </w:p>
    <w:p w:rsidR="000E5EE4" w:rsidRPr="000E5EE4" w:rsidRDefault="000E5EE4" w:rsidP="000E5E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un contract de sponsorizare folosit ca „copertă” pentru o prestație contra cost (închirierea sălii);</w:t>
      </w:r>
    </w:p>
    <w:p w:rsidR="000E5EE4" w:rsidRPr="000E5EE4" w:rsidRDefault="000E5EE4" w:rsidP="000E5E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 evident conflict de interese cu Primăria, care are și rol de control asupra asociațiilor.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Mai jos îți pun pe rând piesele.</w:t>
      </w:r>
    </w:p>
    <w:p w:rsidR="000E5EE4" w:rsidRPr="000E5EE4" w:rsidRDefault="000E5EE4" w:rsidP="000E5E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E5EE4" w:rsidRPr="000E5EE4" w:rsidRDefault="000E5EE4" w:rsidP="000E5E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fr-BE"/>
        </w:rPr>
      </w:pPr>
      <w:r w:rsidRPr="000E5EE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fr-BE"/>
        </w:rPr>
        <w:t>1. Situația de fapt (rezumat din documente)</w:t>
      </w:r>
    </w:p>
    <w:p w:rsidR="000E5EE4" w:rsidRPr="000E5EE4" w:rsidRDefault="000E5EE4" w:rsidP="000E5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Trei contracte de sponsorizare AP – Fundația Pro Chitila (2025)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br/>
        <w:t>– Părți: Asociația de Proprietari „RESIDENZ – CARTIERUL GERMAN” (sponsor) și Fundația Pro Chitila (beneficiar).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br/>
        <w:t xml:space="preserve">– Fiecare contract are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valoarea de 1.000 lei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, plătibilă într-o singură tranșă în 10 zile de la semnare.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br/>
        <w:t xml:space="preserve">– Obiectul: 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fr-BE"/>
        </w:rPr>
        <w:t>„Sponsorul se obligă să susțină activitățile Beneficiarului”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și să pună la dispoziție „Valoarea Sponsorizării”. 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Nu apare niciun cuvânt despre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AGP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sau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închiriere spațiu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E5EE4" w:rsidRPr="000E5EE4" w:rsidRDefault="000E5EE4" w:rsidP="000E5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Două facturi de 1.000 lei către Fundația Pro Chitila, iulie 2025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În evidențele AP apar două facturi: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• „Nr. 08/05.04.2025 – 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închiriere spațiu organizare AGP 05.04.2025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– 1.000 lei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• „Nr. 21/04.07.2025 – 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închiriere spațiu organizare AGP 05.07.2025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– 1.000 lei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Ambele figurau ca „Distribuite complet – Plătite complet” în listele de plată pe iulie 2025, la rubrica „Diverse – toată asociația”.</w:t>
      </w:r>
    </w:p>
    <w:p w:rsidR="000E5EE4" w:rsidRPr="000E5EE4" w:rsidRDefault="000E5EE4" w:rsidP="000E5E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Solicitările tale de clarificări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Către AP: întrebi explicit în baza cărui contract au fost făcute plățile pentru „închiriere spațiu AGP” și cum au fost repartizate sumele.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Către Primărie: ceri clarificări asupra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celor 3 contracte de sponsorizare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posibila lor nelegalitate și conflictul de interese dintre Asociație, Fundație și Primărie.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Menționezi că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nu ai primit răspuns în termen legal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E5EE4" w:rsidRPr="000E5EE4" w:rsidRDefault="000E5EE4" w:rsidP="000E5E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E5EE4" w:rsidRPr="000E5EE4" w:rsidRDefault="000E5EE4" w:rsidP="000E5E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E5EE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2. Cadrul legal relevant (pe scurt)</w:t>
      </w:r>
    </w:p>
    <w:p w:rsidR="000E5EE4" w:rsidRPr="000E5EE4" w:rsidRDefault="000E5EE4" w:rsidP="000E5E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Scopul și cheltuielile asociației de proprietari – Legea 196/2018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Asociația de proprietari este 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„formă de asociere autonomă și fără scop lucrativ (…) având ca scop administrarea, exploatarea, întreținerea, repararea, reabilitarea și modernizarea proprietății comune”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„Cheltuielile asociației de proprietari” sunt cele legate de 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„exploatarea, repararea, întreținerea, modernizarea, reabilitarea proprietății comune, precum și (…) serviciile de 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care beneficiază proprietarii”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Cheltuielile se împart pe categorii (persoane, cote-părți indivize, consumuri individuale etc.) potrivit art. 70.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Art. 71 reglementează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fondul de reparații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iar art. 72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fondul de rulment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ambele au destinații strict legate de cheltuielile curente / reparații ale condominiului.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Art. 102 alin. (1) lit. l)–m) sancționează contravențional 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„utilizarea cu altă destinație a fondului de rulment sau a fondului de reparații”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și 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„utilizarea și gestionarea veniturilor asociației (…) altfel decât este prevăzut la art. 20, 70 și 74”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E5EE4" w:rsidRPr="000E5EE4" w:rsidRDefault="000E5EE4" w:rsidP="000E5E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Capacitatea persoanei juridice fără scop lucrativ – Codul civil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Art. 206 alin. (1) NCC: 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„Persoana juridică poate avea orice drepturi și obligații civile, afară de acelea care (…) nu pot aparține decât persoanei fizice.”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Art. 206 alin. (2): 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„Persoanele juridice fără scop lucrativ pot avea doar acele drepturi și obligații civile care sunt necesare pentru realizarea scopului stabilit prin lege, actul de constituire sau statut.”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Art. 206 alin. 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(3): 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fr-BE"/>
        </w:rPr>
        <w:t>„Actul juridic încheiat cu încălcarea dispozițiilor alin. (1) și (2) este lovit de nulitate absolută.”</w:t>
      </w:r>
    </w:p>
    <w:p w:rsidR="000E5EE4" w:rsidRPr="000E5EE4" w:rsidRDefault="000E5EE4" w:rsidP="000E5E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Definiția sponsorizării – Legea 32/1994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Art. 1 alin. (1): 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„Sponsorizarea este actul juridic prin care două persoane convin cu privire la transferul dreptului de proprietate asupra unor bunuri (…) sau a dreptului de folosință asupra acestora, în vederea susținerii de acțiuni sau activități fără scop lucrativ.”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Sponsorizarea este, în esență,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gratuită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beneficiarul nu prestează un serviciu contra cost sponsorului (altfel nu mai e sponsorizare, ci contract oneros – prestări servicii/locațiune).</w:t>
      </w:r>
    </w:p>
    <w:p w:rsidR="000E5EE4" w:rsidRPr="000E5EE4" w:rsidRDefault="000E5EE4" w:rsidP="000E5E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Rolul Primăriei față de asociațiile de proprietari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Art. 10 din Legea 196/2018: 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„Autoritățile administrației publice locale organizează (…) un compartiment specializat în sprijinirea, îndrumarea și controlul asociațiilor de proprietari.”</w:t>
      </w:r>
    </w:p>
    <w:p w:rsidR="000E5EE4" w:rsidRPr="000E5EE4" w:rsidRDefault="000E5EE4" w:rsidP="000E5E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Statutul Fundației Pro Chitila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Din HCL privind înființarea fundației rezultă că este o persoană juridică de drept privat, fără scop patrimonial, creată cu implicarea Consiliului Local Chitila. (</w:t>
      </w:r>
      <w:hyperlink r:id="rId8" w:tooltip="privind infiintarea Fundației &quot; Pro Chitila&quot;" w:history="1">
        <w:r w:rsidRPr="00720EE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Primăria Chitila -</w:t>
        </w:r>
      </w:hyperlink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0E5EE4" w:rsidRPr="000E5EE4" w:rsidRDefault="000E5EE4" w:rsidP="000E5E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E5EE4" w:rsidRPr="000E5EE4" w:rsidRDefault="000E5EE4" w:rsidP="000E5E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fr-BE"/>
        </w:rPr>
      </w:pPr>
      <w:r w:rsidRPr="000E5EE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fr-BE"/>
        </w:rPr>
        <w:t>3. Poate AP să încheie legal contracte de sponsorizare?</w:t>
      </w:r>
    </w:p>
    <w:p w:rsidR="000E5EE4" w:rsidRPr="000E5EE4" w:rsidRDefault="000E5EE4" w:rsidP="000E5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</w:pPr>
      <w:r w:rsidRPr="000E5E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  <w:t>3.1. Depășirea scopului legal al asociației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Asociația de proprietari este o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persoană juridică fără scop lucrativ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și are, prin lege, un scop foarte îngust: administrarea și întreținerea condominiului și a proprietății comune.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Coroborând art. 2 lit. d) din Legea 196/2018 cu art. 206 alin. (2) NCC, rezultă că asociația poate încheia numai actele juridice care sunt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necesare pentru realizarea acestui scop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adică facturi, contracte de utilități, reparații, servicii de administrare, curățenie, pază, eventual chiria unei săli pentru AGP etc., dar nu acte cu caracter generic de „susținere a activităților” unei fundații a Primăriei.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Obiectul celor 3 contracte de sponsorizare este formulat extrem de general: 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„Sponsorul se obligă să susțină activitățile Beneficiarului”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fără nicio legătură concretă cu administrarea proprietății comune, cu reparații, cu utilități sau cu servicii de care beneficiază proprietarii.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➜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Concluzie parțială: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în măsura în care banii provin din contribuțiile de întreținere ale proprietarilor, cele 3 contracte par să încalce art. 206 alin. (2) NCC și art. 2 lit. d) + art. 2 lit. g) din Legea 196/2018. Prin urmare, ele sunt atacabile ca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acte încheiate cu depășirea capacității de folosință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și, deci, pot fi considerate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nule absolut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(art. 206 alin. (3)).</w:t>
      </w:r>
    </w:p>
    <w:p w:rsidR="000E5EE4" w:rsidRPr="000E5EE4" w:rsidRDefault="000E5EE4" w:rsidP="000E5E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E5EE4" w:rsidRPr="000E5EE4" w:rsidRDefault="000E5EE4" w:rsidP="000E5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0E5E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3.2. Destinația fondurilor asociației și contravențiile din Legea 196/2018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Cheltuielile asociației sunt, prin definiție legală, legate de exploatarea/întreținerea proprietății comune și de serviciile de care beneficiază proprietarii.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Plățile de 2.000 lei către Fundația Pro Chitila:</w:t>
      </w:r>
    </w:p>
    <w:p w:rsidR="000E5EE4" w:rsidRPr="000E5EE4" w:rsidRDefault="000E5EE4" w:rsidP="000E5E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apar în listele de plată la rubrica „Diverse – toată asociația”;</w:t>
      </w:r>
    </w:p>
    <w:p w:rsidR="000E5EE4" w:rsidRPr="000E5EE4" w:rsidRDefault="000E5EE4" w:rsidP="000E5E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nu sunt individualizate ca fond de reparații, fond de rulment sau alt fond special legal;</w:t>
      </w:r>
    </w:p>
    <w:p w:rsidR="000E5EE4" w:rsidRPr="000E5EE4" w:rsidRDefault="000E5EE4" w:rsidP="000E5E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nu acoperă un serviciu „clasic” pentru condominiu (curățenie, pază, utilități), ci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închirierea unei săli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, în contextul în care nu există un contract de închiriere separat.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Dacă sumele provin din:</w:t>
      </w:r>
    </w:p>
    <w:p w:rsidR="000E5EE4" w:rsidRPr="000E5EE4" w:rsidRDefault="000E5EE4" w:rsidP="000E5E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fondul de reparații / fondul de rulment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– avem direct aplicabil art. 102 alin. (1) lit. l) („utilizarea cu altă destinație a fondului de reparații sau de rulment”).</w:t>
      </w:r>
    </w:p>
    <w:p w:rsidR="000E5EE4" w:rsidRPr="000E5EE4" w:rsidRDefault="000E5EE4" w:rsidP="000E5E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alte venituri ale asociației (contribuții lunare, penalități etc.)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– intră la art. 102 alin. 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(1) lit. m), adică „utilizarea și gestionarea veniturilor asociației (...) altfel decât este prevăzut la art. 20, 70 și 74”.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➜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Concluzie parțială: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indiferent de sursa exactă, faptul că se plătesc 2.000 lei către fundația Primăriei pentru un scop care nu se încadrează în categoriile legale de cheltuieli ale asociației reprezintă, foarte probabil,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contravenție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conform art. 102 din Legea 196/2018 și justifică sancționarea conducerii AP de către Primărie (și, eventual, de instanță).</w:t>
      </w:r>
    </w:p>
    <w:p w:rsidR="000E5EE4" w:rsidRPr="000E5EE4" w:rsidRDefault="000E5EE4" w:rsidP="000E5E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E5EE4" w:rsidRPr="000E5EE4" w:rsidRDefault="000E5EE4" w:rsidP="000E5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</w:pPr>
      <w:r w:rsidRPr="000E5E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  <w:t>3.3. Sponsorizare vs. contract de prestări servicii / locațiune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Legea 32/1994 spune clar: sponsorizarea este transfer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gratuit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de bunuri / sume / drept de folosință, pentru susținerea unor activități fără scop lucrativ. Beneficiarul nu prestează ceva contra cost sponsorului; altfel am vorbi de contract oneros, nu de sponsorizare.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În cazul tău, însă:</w:t>
      </w:r>
    </w:p>
    <w:p w:rsidR="000E5EE4" w:rsidRPr="000E5EE4" w:rsidRDefault="000E5EE4" w:rsidP="000E5E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lastRenderedPageBreak/>
        <w:t>Contractele de sponsorizare NU menționează nicăieri că, în schimbul sumei de 1.000 lei, Fundația ar oferi o sală pentru AGP.</w:t>
      </w:r>
    </w:p>
    <w:p w:rsidR="000E5EE4" w:rsidRPr="000E5EE4" w:rsidRDefault="000E5EE4" w:rsidP="000E5E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Facturile Fundației au ca obiect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explicit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„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închiriere spațiu organizare AGP 05.04.2025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și „</w:t>
      </w:r>
      <w:r w:rsidRPr="00720EE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închiriere spațiu organizare AGP 05.07.2025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”.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Asta sugerează două variante posibile, ambele problematice:</w:t>
      </w:r>
    </w:p>
    <w:p w:rsidR="000E5EE4" w:rsidRPr="000E5EE4" w:rsidRDefault="000E5EE4" w:rsidP="000E5E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Contractele de sponsorizare sunt fictive / simulate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, folosite doar ca „acoperire” pentru a masca un contract real de prestări servicii (închirierea sălii).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br/>
        <w:t xml:space="preserve">– În această ipoteză, sponsorizarea ca act gratuit nu există în realitate, iar contractele pot fi atacate ca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simulație / lipsă de cauză licită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, pe lângă depășirea capacității de folosință.</w:t>
      </w:r>
    </w:p>
    <w:p w:rsidR="000E5EE4" w:rsidRPr="000E5EE4" w:rsidRDefault="000E5EE4" w:rsidP="000E5E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Contractele de sponsorizare sunt reale, dar facturile sunt emise greșit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(adică se confundă sponsorizarea cu o închiriere de spațiu).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br/>
        <w:t>– În acest caz, facturile sunt neconforme cu contractul, iar plata lor nu este acoperită juridic de niciun titlu valabil (nu există contract de locațiune pentru AGP).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fr-BE"/>
        </w:rPr>
        <w:t>➜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Concluzie parțială: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legătura dintre cele 3 contracte de sponsorizare și cele 2 facturi de „închiriere spațiu” este inconsistentă juridic. Fie contractele de sponsorizare sunt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doar de formă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, fie facturile sunt emise fără temei contractual adecvat. În ambele scenarii, există temei pentru a cere constatarea nulității actelor și restituirea sumelor.</w:t>
      </w:r>
    </w:p>
    <w:p w:rsidR="000E5EE4" w:rsidRPr="000E5EE4" w:rsidRDefault="000E5EE4" w:rsidP="000E5E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0E5EE4" w:rsidRPr="000E5EE4" w:rsidRDefault="000E5EE4" w:rsidP="000E5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</w:pPr>
      <w:r w:rsidRPr="000E5E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3.4. Conflictul de interese cu Primăria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 hotărârile Consiliului Local și din informațiile publice rezultă că Fundația Pro Chitila este o fundație „de casă” a Primăriei (înființată prin HCL, cu conducere numită de Consiliul Local). (</w:t>
      </w:r>
      <w:hyperlink r:id="rId9" w:tooltip="privind infiintarea Fundației &quot; Pro Chitila&quot;" w:history="1">
        <w:r w:rsidRPr="00720EE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Primăria Chitila -</w:t>
        </w:r>
      </w:hyperlink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Simultan, aceeași Primărie are obligația legală, prin art. 10 din Legea 196/2018, să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îndrume și să controleze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asociațiile de proprietari din oraș.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Rezultă o situație foarte delicată:</w:t>
      </w:r>
    </w:p>
    <w:p w:rsidR="000E5EE4" w:rsidRPr="000E5EE4" w:rsidRDefault="000E5EE4" w:rsidP="000E5E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Asociația, care este sub controlul Primăriei, virează bani (din contribuțiile proprietarilor) către fundația Primăriei.</w:t>
      </w:r>
    </w:p>
    <w:p w:rsidR="000E5EE4" w:rsidRPr="000E5EE4" w:rsidRDefault="000E5EE4" w:rsidP="000E5E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Primăria, ca autoritate de control, ar trebui să verifice tocmai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legalitatea acestor plăți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și a contractelor de sponsorizare, dar are un interes direct în finanțarea propriei fundații.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➜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Concluzie parțială: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chiar dacă Legea 32/1994 nu interzice expres o astfel de sponsorizare,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aparența de conflict de interese este puternică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iar situația poate fi invocată atât în fața instanței civile (ca argument de context), cât și în fața Prefectului / altor organe (posibil abuz în serviciu, dacă se confirmă folosirea necorespunzătoare a banilor).</w:t>
      </w:r>
    </w:p>
    <w:p w:rsidR="000E5EE4" w:rsidRPr="000E5EE4" w:rsidRDefault="000E5EE4" w:rsidP="000E5E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0E5EE4" w:rsidRPr="000E5EE4" w:rsidRDefault="000E5EE4" w:rsidP="000E5E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</w:pPr>
      <w:r w:rsidRPr="000E5EE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val="fr-BE"/>
        </w:rPr>
        <w:lastRenderedPageBreak/>
        <w:t>3.5. Lipsa răspunsului la solicitările de clarificări</w: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Atât asociațiile de proprietari, cât și Primăria sunt obligate să răspundă la petiții / solicitări în termenele prevăzute de OG nr. 27/2002 și de Legea 544/2001 (30 de zile, cu posibilitate de prelungire motivată). 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Faptul că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nu ai primit niciun răspuns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E5EE4" w:rsidRPr="000E5EE4" w:rsidRDefault="000E5EE4" w:rsidP="000E5E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confirmă lipsa de transparență;</w:t>
      </w:r>
    </w:p>
    <w:p w:rsidR="000E5EE4" w:rsidRPr="000E5EE4" w:rsidRDefault="000E5EE4" w:rsidP="000E5E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îți creează un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argument suplimentar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în orice acțiune ulterioară (civilă sau contravențională), pentru că demonstrează refuzul autorității de a-și exercita rolul de control și lămurire.</w:t>
      </w:r>
    </w:p>
    <w:p w:rsidR="000E5EE4" w:rsidRPr="000E5EE4" w:rsidRDefault="000E5EE4" w:rsidP="000E5E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0E5EE4" w:rsidRPr="000E5EE4" w:rsidRDefault="000E5EE4" w:rsidP="000E5E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E5EE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4. Concluzie generală asupra legalității</w:t>
      </w:r>
    </w:p>
    <w:p w:rsidR="000E5EE4" w:rsidRPr="000E5EE4" w:rsidRDefault="000E5EE4" w:rsidP="000E5E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Cele 3 contracte de sponsorizare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nu au legătură directă cu scopul legal al asociației;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folosesc banii proveniți din contribuțiile proprietarilor pentru un scop exterior administrării condominiului;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încalcă art. 206 alin. (2) NCC + art. 2 lit. d) și g) din Legea 196/2018;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sunt, deci, serios atacabile ca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acte lovite de nulitate absolută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(depășirea capacității de folosință, lipsa destinației legale a fondurilor).</w:t>
      </w:r>
    </w:p>
    <w:p w:rsidR="000E5EE4" w:rsidRPr="000E5EE4" w:rsidRDefault="000E5EE4" w:rsidP="000E5E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Cele 2 plăți de 1.000 lei pentru „închiriere spațiu AGP”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nu corespund obiectului contractelor de sponsorizare;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nu sunt acoperite de un contract de locațiune / prestări servicii anexat listelor;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– reprezintă, cel mai probabil, o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utilizare nelegală a veniturilor asociației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sancționabilă contravențional (art. 102 Legea 196/2018) și civil (răspunderea persoanelor din conducere pentru prejudiciul produs proprietarilor).</w:t>
      </w:r>
    </w:p>
    <w:p w:rsidR="000E5EE4" w:rsidRPr="000E5EE4" w:rsidRDefault="000E5EE4" w:rsidP="000E5E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Conflictul de interese Primărie – Fundație – Asociație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Primăria (prin Consiliul Local) e fondator / tutelar al Fundației Pro Chitila;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aceeași Primărie are atribuții legale de control asupra AP;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– faptul că AP virează bani către fundația Primăriei, iar Primăria refuză să clarifice sau să sancționeze situația, poate constitui un element relevant inclusiv pentru o eventuală sesizare la Prefect / alte organe (de ex. Curtea de Conturi, dacă sunt și fonduri publice implicate).</w:t>
      </w:r>
    </w:p>
    <w:p w:rsidR="000E5EE4" w:rsidRPr="000E5EE4" w:rsidRDefault="000E5EE4" w:rsidP="000E5E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0E5EE4" w:rsidRPr="000E5EE4" w:rsidRDefault="000E5EE4" w:rsidP="000E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>Dacă vrei, în pasul următor pot să-ți structurez concret:</w:t>
      </w:r>
    </w:p>
    <w:p w:rsidR="000E5EE4" w:rsidRPr="000E5EE4" w:rsidRDefault="000E5EE4" w:rsidP="000E5E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capetele unei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acțiuni în constatarea nulității contractelor de sponsorizare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și restituirea sumelor;</w:t>
      </w:r>
    </w:p>
    <w:p w:rsidR="000E5EE4" w:rsidRPr="000E5EE4" w:rsidRDefault="000E5EE4" w:rsidP="000E5E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</w:pP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plus model de </w:t>
      </w:r>
      <w:r w:rsidRPr="00720E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BE"/>
        </w:rPr>
        <w:t>sesizare contravențională / disciplinară</w:t>
      </w:r>
      <w:r w:rsidRPr="000E5E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BE"/>
        </w:rPr>
        <w:t xml:space="preserve"> către Primărie și Prefect, plecând de la analiza de mai sus.</w:t>
      </w:r>
    </w:p>
    <w:bookmarkEnd w:id="0"/>
    <w:p w:rsidR="00D43DCF" w:rsidRPr="00720EE7" w:rsidRDefault="00D43DCF">
      <w:pPr>
        <w:rPr>
          <w:color w:val="000000" w:themeColor="text1"/>
          <w:lang w:val="fr-BE"/>
        </w:rPr>
      </w:pPr>
    </w:p>
    <w:sectPr w:rsidR="00D43DCF" w:rsidRPr="00720EE7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85" w:rsidRDefault="00B01785" w:rsidP="003B5C58">
      <w:pPr>
        <w:spacing w:after="0" w:line="240" w:lineRule="auto"/>
      </w:pPr>
      <w:r>
        <w:separator/>
      </w:r>
    </w:p>
  </w:endnote>
  <w:endnote w:type="continuationSeparator" w:id="0">
    <w:p w:rsidR="00B01785" w:rsidRDefault="00B01785" w:rsidP="003B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107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5C58" w:rsidRDefault="003B5C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EE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B5C58" w:rsidRDefault="003B5C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85" w:rsidRDefault="00B01785" w:rsidP="003B5C58">
      <w:pPr>
        <w:spacing w:after="0" w:line="240" w:lineRule="auto"/>
      </w:pPr>
      <w:r>
        <w:separator/>
      </w:r>
    </w:p>
  </w:footnote>
  <w:footnote w:type="continuationSeparator" w:id="0">
    <w:p w:rsidR="00B01785" w:rsidRDefault="00B01785" w:rsidP="003B5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BA8"/>
    <w:multiLevelType w:val="multilevel"/>
    <w:tmpl w:val="BE28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B6894"/>
    <w:multiLevelType w:val="multilevel"/>
    <w:tmpl w:val="8CA2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D2DA5"/>
    <w:multiLevelType w:val="multilevel"/>
    <w:tmpl w:val="8B22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522D8"/>
    <w:multiLevelType w:val="multilevel"/>
    <w:tmpl w:val="D8E6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9068D"/>
    <w:multiLevelType w:val="multilevel"/>
    <w:tmpl w:val="FBD2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E84DA6"/>
    <w:multiLevelType w:val="multilevel"/>
    <w:tmpl w:val="485A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D222AD"/>
    <w:multiLevelType w:val="multilevel"/>
    <w:tmpl w:val="EBDC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486B1E"/>
    <w:multiLevelType w:val="multilevel"/>
    <w:tmpl w:val="4138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DB0C3B"/>
    <w:multiLevelType w:val="multilevel"/>
    <w:tmpl w:val="E5E4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0349A5"/>
    <w:multiLevelType w:val="multilevel"/>
    <w:tmpl w:val="EAA8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171E0F"/>
    <w:multiLevelType w:val="multilevel"/>
    <w:tmpl w:val="C9DC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7A"/>
    <w:rsid w:val="000E5EE4"/>
    <w:rsid w:val="00371AEB"/>
    <w:rsid w:val="003B5C58"/>
    <w:rsid w:val="00720EE7"/>
    <w:rsid w:val="00B01785"/>
    <w:rsid w:val="00D43DCF"/>
    <w:rsid w:val="00E4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5E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E5E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5E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5E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E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EE4"/>
    <w:rPr>
      <w:b/>
      <w:bCs/>
    </w:rPr>
  </w:style>
  <w:style w:type="character" w:styleId="Emphasis">
    <w:name w:val="Emphasis"/>
    <w:basedOn w:val="DefaultParagraphFont"/>
    <w:uiPriority w:val="20"/>
    <w:qFormat/>
    <w:rsid w:val="000E5EE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E5E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58"/>
  </w:style>
  <w:style w:type="paragraph" w:styleId="Footer">
    <w:name w:val="footer"/>
    <w:basedOn w:val="Normal"/>
    <w:link w:val="FooterChar"/>
    <w:uiPriority w:val="99"/>
    <w:unhideWhenUsed/>
    <w:rsid w:val="003B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58"/>
  </w:style>
  <w:style w:type="paragraph" w:styleId="BalloonText">
    <w:name w:val="Balloon Text"/>
    <w:basedOn w:val="Normal"/>
    <w:link w:val="BalloonTextChar"/>
    <w:uiPriority w:val="99"/>
    <w:semiHidden/>
    <w:unhideWhenUsed/>
    <w:rsid w:val="0037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5E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E5E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5E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5E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E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EE4"/>
    <w:rPr>
      <w:b/>
      <w:bCs/>
    </w:rPr>
  </w:style>
  <w:style w:type="character" w:styleId="Emphasis">
    <w:name w:val="Emphasis"/>
    <w:basedOn w:val="DefaultParagraphFont"/>
    <w:uiPriority w:val="20"/>
    <w:qFormat/>
    <w:rsid w:val="000E5EE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E5E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58"/>
  </w:style>
  <w:style w:type="paragraph" w:styleId="Footer">
    <w:name w:val="footer"/>
    <w:basedOn w:val="Normal"/>
    <w:link w:val="FooterChar"/>
    <w:uiPriority w:val="99"/>
    <w:unhideWhenUsed/>
    <w:rsid w:val="003B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58"/>
  </w:style>
  <w:style w:type="paragraph" w:styleId="BalloonText">
    <w:name w:val="Balloon Text"/>
    <w:basedOn w:val="Normal"/>
    <w:link w:val="BalloonTextChar"/>
    <w:uiPriority w:val="99"/>
    <w:semiHidden/>
    <w:unhideWhenUsed/>
    <w:rsid w:val="0037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chitila.ro/new/wp-content/uploads/2025/11/HCL-54-privind-infiintarea-Fundatiei-Pro-Chitila.pdf?utm_source=chatgp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chitila.ro/new/wp-content/uploads/2025/11/HCL-54-privind-infiintarea-Fundatiei-Pro-Chitila.pdf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Dehelean</dc:creator>
  <cp:keywords/>
  <dc:description/>
  <cp:lastModifiedBy>Dragos Dehelean</cp:lastModifiedBy>
  <cp:revision>4</cp:revision>
  <cp:lastPrinted>2025-12-12T08:09:00Z</cp:lastPrinted>
  <dcterms:created xsi:type="dcterms:W3CDTF">2025-12-12T08:01:00Z</dcterms:created>
  <dcterms:modified xsi:type="dcterms:W3CDTF">2025-12-12T12:48:00Z</dcterms:modified>
</cp:coreProperties>
</file>